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F75" w:rsidRPr="00297461" w:rsidRDefault="008D4A5D" w:rsidP="00575F7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</w:rPr>
      </w:pPr>
      <w:bookmarkStart w:id="0" w:name="_GoBack"/>
      <w:bookmarkEnd w:id="0"/>
      <w:r w:rsidRPr="00297461">
        <w:rPr>
          <w:rFonts w:eastAsia="Times New Roman" w:cs="Arial"/>
          <w:b/>
          <w:color w:val="222222"/>
        </w:rPr>
        <w:t>Capital structure determinants</w:t>
      </w:r>
    </w:p>
    <w:p w:rsidR="00CE7B3F" w:rsidRDefault="007B6FCC" w:rsidP="008D4A5D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color w:val="222222"/>
        </w:rPr>
      </w:pPr>
      <w:r w:rsidRPr="007B6FCC">
        <w:rPr>
          <w:rFonts w:eastAsia="Times New Roman" w:cs="Arial"/>
          <w:i/>
          <w:color w:val="222222"/>
        </w:rPr>
        <w:t>“</w:t>
      </w:r>
      <w:r w:rsidR="008D4A5D" w:rsidRPr="007B6FCC">
        <w:rPr>
          <w:rFonts w:eastAsia="Times New Roman" w:cs="Arial"/>
          <w:i/>
          <w:color w:val="222222"/>
        </w:rPr>
        <w:t>The study of capital structure attempts to explain the mix of securities and</w:t>
      </w:r>
      <w:r w:rsidRPr="007B6FCC">
        <w:rPr>
          <w:rFonts w:eastAsia="Times New Roman" w:cs="Arial"/>
          <w:i/>
          <w:color w:val="222222"/>
        </w:rPr>
        <w:t xml:space="preserve"> </w:t>
      </w:r>
      <w:r w:rsidR="008D4A5D" w:rsidRPr="007B6FCC">
        <w:rPr>
          <w:rFonts w:eastAsia="Times New Roman" w:cs="Arial"/>
          <w:i/>
          <w:color w:val="222222"/>
        </w:rPr>
        <w:t>financing sources used by corporations to finance real investment. Most of</w:t>
      </w:r>
      <w:r w:rsidRPr="007B6FCC">
        <w:rPr>
          <w:rFonts w:eastAsia="Times New Roman" w:cs="Arial"/>
          <w:i/>
          <w:color w:val="222222"/>
        </w:rPr>
        <w:t xml:space="preserve"> </w:t>
      </w:r>
      <w:r w:rsidR="008D4A5D" w:rsidRPr="007B6FCC">
        <w:rPr>
          <w:rFonts w:eastAsia="Times New Roman" w:cs="Arial"/>
          <w:i/>
          <w:color w:val="222222"/>
        </w:rPr>
        <w:t>the research on capital structure has focused on the proportions of debt</w:t>
      </w:r>
      <w:r w:rsidRPr="007B6FCC">
        <w:rPr>
          <w:rFonts w:eastAsia="Times New Roman" w:cs="Arial"/>
          <w:i/>
          <w:color w:val="222222"/>
        </w:rPr>
        <w:t xml:space="preserve"> </w:t>
      </w:r>
      <w:r w:rsidR="008D4A5D" w:rsidRPr="007B6FCC">
        <w:rPr>
          <w:rFonts w:eastAsia="Times New Roman" w:cs="Arial"/>
          <w:i/>
          <w:color w:val="222222"/>
        </w:rPr>
        <w:t>vs. equity observed on the right-hand sides of corporations’ balance sheets</w:t>
      </w:r>
      <w:r w:rsidRPr="007B6FCC">
        <w:rPr>
          <w:rFonts w:eastAsia="Times New Roman" w:cs="Arial"/>
          <w:i/>
          <w:color w:val="222222"/>
        </w:rPr>
        <w:t xml:space="preserve"> … </w:t>
      </w:r>
      <w:r w:rsidR="008D4A5D" w:rsidRPr="007B6FCC">
        <w:rPr>
          <w:rFonts w:eastAsia="Times New Roman" w:cs="Arial"/>
          <w:i/>
          <w:color w:val="222222"/>
        </w:rPr>
        <w:t>There is no universal theory of the debt-equity choice, and no reason to expect</w:t>
      </w:r>
      <w:r w:rsidRPr="007B6FCC">
        <w:rPr>
          <w:rFonts w:eastAsia="Times New Roman" w:cs="Arial"/>
          <w:i/>
          <w:color w:val="222222"/>
        </w:rPr>
        <w:t xml:space="preserve"> </w:t>
      </w:r>
      <w:r w:rsidR="008D4A5D" w:rsidRPr="007B6FCC">
        <w:rPr>
          <w:rFonts w:eastAsia="Times New Roman" w:cs="Arial"/>
          <w:i/>
          <w:color w:val="222222"/>
        </w:rPr>
        <w:t>one. There are several useful conditional theories, however</w:t>
      </w:r>
      <w:r w:rsidRPr="007B6FCC">
        <w:rPr>
          <w:rFonts w:eastAsia="Times New Roman" w:cs="Arial"/>
          <w:i/>
          <w:color w:val="222222"/>
        </w:rPr>
        <w:t>”</w:t>
      </w:r>
      <w:r>
        <w:rPr>
          <w:rFonts w:eastAsia="Times New Roman" w:cs="Arial"/>
          <w:color w:val="222222"/>
        </w:rPr>
        <w:t xml:space="preserve"> (</w:t>
      </w:r>
      <w:r w:rsidRPr="00AF05A8">
        <w:t>Myers,</w:t>
      </w:r>
      <w:r>
        <w:t xml:space="preserve"> 2001). The lecture </w:t>
      </w:r>
      <w:r w:rsidR="00BF5A8C">
        <w:t xml:space="preserve">will first </w:t>
      </w:r>
      <w:r>
        <w:t>overview</w:t>
      </w:r>
      <w:r w:rsidR="00BF5A8C">
        <w:t xml:space="preserve"> </w:t>
      </w:r>
      <w:r>
        <w:t xml:space="preserve">the rationale of these theories and the </w:t>
      </w:r>
      <w:r w:rsidR="00BF5A8C">
        <w:t>difficulties of bringing their predictions to microdata (</w:t>
      </w:r>
      <w:r w:rsidR="00BF5A8C" w:rsidRPr="008D4A5D">
        <w:rPr>
          <w:rFonts w:eastAsia="Times New Roman" w:cs="Arial"/>
          <w:color w:val="222222"/>
        </w:rPr>
        <w:t>Graham, and Leary</w:t>
      </w:r>
      <w:r w:rsidR="00BF5A8C">
        <w:rPr>
          <w:rFonts w:eastAsia="Times New Roman" w:cs="Arial"/>
          <w:color w:val="222222"/>
        </w:rPr>
        <w:t>, 2011</w:t>
      </w:r>
      <w:r w:rsidR="00A50B3B">
        <w:rPr>
          <w:rFonts w:eastAsia="Times New Roman" w:cs="Arial"/>
          <w:color w:val="222222"/>
        </w:rPr>
        <w:t>; Myers, 2015</w:t>
      </w:r>
      <w:r w:rsidR="00BF5A8C">
        <w:rPr>
          <w:rFonts w:eastAsia="Times New Roman" w:cs="Arial"/>
          <w:color w:val="222222"/>
        </w:rPr>
        <w:t xml:space="preserve">). </w:t>
      </w:r>
    </w:p>
    <w:p w:rsidR="008D4A5D" w:rsidRPr="00CE7B3F" w:rsidRDefault="00BF5A8C" w:rsidP="008D4A5D">
      <w:pPr>
        <w:shd w:val="clear" w:color="auto" w:fill="FFFFFF"/>
        <w:spacing w:before="100" w:beforeAutospacing="1" w:after="100" w:afterAutospacing="1" w:line="240" w:lineRule="auto"/>
        <w:jc w:val="left"/>
      </w:pPr>
      <w:r>
        <w:rPr>
          <w:rFonts w:eastAsia="Times New Roman" w:cs="Arial"/>
          <w:color w:val="222222"/>
        </w:rPr>
        <w:t xml:space="preserve">Afterward, I will </w:t>
      </w:r>
      <w:r w:rsidR="005A4D5F">
        <w:rPr>
          <w:rFonts w:eastAsia="Times New Roman" w:cs="Arial"/>
          <w:color w:val="222222"/>
        </w:rPr>
        <w:t>discuss th</w:t>
      </w:r>
      <w:r w:rsidR="00821D4A">
        <w:rPr>
          <w:rFonts w:eastAsia="Times New Roman" w:cs="Arial"/>
          <w:color w:val="222222"/>
        </w:rPr>
        <w:t>e empirics of th</w:t>
      </w:r>
      <w:r w:rsidR="005A4D5F">
        <w:rPr>
          <w:rFonts w:eastAsia="Times New Roman" w:cs="Arial"/>
          <w:color w:val="222222"/>
        </w:rPr>
        <w:t xml:space="preserve">ree projects focused on </w:t>
      </w:r>
      <w:r w:rsidR="00821D4A">
        <w:rPr>
          <w:rFonts w:eastAsia="Times New Roman" w:cs="Arial"/>
          <w:color w:val="222222"/>
        </w:rPr>
        <w:t xml:space="preserve">the differences between for-profit and not-for-profit enterprises (starting from Fedele and Miniaci, 2010); on </w:t>
      </w:r>
      <w:r w:rsidR="005A4D5F">
        <w:rPr>
          <w:rFonts w:eastAsia="Times New Roman" w:cs="Arial"/>
          <w:color w:val="222222"/>
        </w:rPr>
        <w:t xml:space="preserve">the heterogeneous effects of taxation and profitability on capital structure (an evolution of </w:t>
      </w:r>
      <w:r w:rsidR="005A4D5F" w:rsidRPr="005A4D5F">
        <w:rPr>
          <w:rFonts w:eastAsia="Times New Roman" w:cs="Arial"/>
          <w:color w:val="222222"/>
        </w:rPr>
        <w:t xml:space="preserve">Miniaci </w:t>
      </w:r>
      <w:r w:rsidR="005A4D5F">
        <w:rPr>
          <w:rFonts w:eastAsia="Times New Roman" w:cs="Arial"/>
          <w:color w:val="222222"/>
        </w:rPr>
        <w:t>et al.</w:t>
      </w:r>
      <w:r w:rsidR="005A4D5F" w:rsidRPr="005A4D5F">
        <w:rPr>
          <w:rFonts w:eastAsia="Times New Roman" w:cs="Arial"/>
          <w:color w:val="222222"/>
        </w:rPr>
        <w:t>, 2014</w:t>
      </w:r>
      <w:r w:rsidR="00821D4A">
        <w:rPr>
          <w:rFonts w:eastAsia="Times New Roman" w:cs="Arial"/>
          <w:color w:val="222222"/>
        </w:rPr>
        <w:t>); and on the relation between capital structure and product market competition (</w:t>
      </w:r>
      <w:proofErr w:type="spellStart"/>
      <w:r w:rsidR="00821D4A">
        <w:rPr>
          <w:rFonts w:eastAsia="Times New Roman" w:cs="Arial"/>
          <w:color w:val="222222"/>
        </w:rPr>
        <w:t>Cerasi</w:t>
      </w:r>
      <w:proofErr w:type="spellEnd"/>
      <w:r w:rsidR="00821D4A">
        <w:rPr>
          <w:rFonts w:eastAsia="Times New Roman" w:cs="Arial"/>
          <w:color w:val="222222"/>
        </w:rPr>
        <w:t xml:space="preserve"> et al, 2017).</w:t>
      </w:r>
      <w:r w:rsidR="00CE7B3F">
        <w:rPr>
          <w:rFonts w:eastAsia="Times New Roman" w:cs="Arial"/>
          <w:color w:val="222222"/>
        </w:rPr>
        <w:t xml:space="preserve"> By so doing, I will provide examples of static and dynamic linear model</w:t>
      </w:r>
      <w:r w:rsidR="00297461">
        <w:rPr>
          <w:rFonts w:eastAsia="Times New Roman" w:cs="Arial"/>
          <w:color w:val="222222"/>
        </w:rPr>
        <w:t>s</w:t>
      </w:r>
      <w:r w:rsidR="00CE7B3F">
        <w:rPr>
          <w:rFonts w:eastAsia="Times New Roman" w:cs="Arial"/>
          <w:color w:val="222222"/>
        </w:rPr>
        <w:t xml:space="preserve"> for panel data; conditional and unconditional quantile</w:t>
      </w:r>
      <w:r w:rsidR="00297461">
        <w:rPr>
          <w:rFonts w:eastAsia="Times New Roman" w:cs="Arial"/>
          <w:color w:val="222222"/>
        </w:rPr>
        <w:t xml:space="preserve"> regression analyse</w:t>
      </w:r>
      <w:r w:rsidR="00CE7B3F">
        <w:rPr>
          <w:rFonts w:eastAsia="Times New Roman" w:cs="Arial"/>
          <w:color w:val="222222"/>
        </w:rPr>
        <w:t xml:space="preserve">s; and </w:t>
      </w:r>
      <w:r w:rsidR="00297461">
        <w:rPr>
          <w:rFonts w:eastAsia="Times New Roman" w:cs="Arial"/>
          <w:color w:val="222222"/>
        </w:rPr>
        <w:t xml:space="preserve">models to account for </w:t>
      </w:r>
      <w:r w:rsidR="00297461" w:rsidRPr="00297461">
        <w:rPr>
          <w:rFonts w:eastAsia="Times New Roman" w:cs="Arial"/>
          <w:color w:val="222222"/>
        </w:rPr>
        <w:t>self-selection and partial observability</w:t>
      </w:r>
      <w:r w:rsidR="00297461">
        <w:rPr>
          <w:rFonts w:eastAsia="Times New Roman" w:cs="Arial"/>
          <w:color w:val="222222"/>
        </w:rPr>
        <w:t>.</w:t>
      </w:r>
    </w:p>
    <w:p w:rsidR="008D4A5D" w:rsidRPr="00297461" w:rsidRDefault="00297461" w:rsidP="00DE58E3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b/>
          <w:color w:val="222222"/>
        </w:rPr>
      </w:pPr>
      <w:r w:rsidRPr="00297461">
        <w:rPr>
          <w:rFonts w:eastAsia="Times New Roman" w:cs="Arial"/>
          <w:b/>
          <w:color w:val="222222"/>
        </w:rPr>
        <w:t>Reading list</w:t>
      </w:r>
    </w:p>
    <w:p w:rsidR="00297461" w:rsidRPr="00297461" w:rsidRDefault="00297461" w:rsidP="00DE58E3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color w:val="222222"/>
          <w:u w:val="single"/>
        </w:rPr>
      </w:pPr>
      <w:r w:rsidRPr="00297461">
        <w:rPr>
          <w:rFonts w:eastAsia="Times New Roman" w:cs="Arial"/>
          <w:color w:val="222222"/>
          <w:u w:val="single"/>
        </w:rPr>
        <w:t>General references:</w:t>
      </w:r>
    </w:p>
    <w:p w:rsidR="00BF5A8C" w:rsidRPr="00297461" w:rsidRDefault="008D4A5D" w:rsidP="00297461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color w:val="222222"/>
        </w:rPr>
      </w:pPr>
      <w:r w:rsidRPr="00297461">
        <w:rPr>
          <w:rFonts w:eastAsia="Times New Roman" w:cs="Arial"/>
          <w:color w:val="222222"/>
        </w:rPr>
        <w:t xml:space="preserve">Graham, John R., and Mark T. Leary. "A review of empirical capital structure research and directions for the future." </w:t>
      </w:r>
      <w:proofErr w:type="spellStart"/>
      <w:r w:rsidRPr="00297461">
        <w:rPr>
          <w:rFonts w:eastAsia="Times New Roman" w:cs="Arial"/>
          <w:color w:val="222222"/>
        </w:rPr>
        <w:t>Annu</w:t>
      </w:r>
      <w:proofErr w:type="spellEnd"/>
      <w:r w:rsidRPr="00297461">
        <w:rPr>
          <w:rFonts w:eastAsia="Times New Roman" w:cs="Arial"/>
          <w:color w:val="222222"/>
        </w:rPr>
        <w:t xml:space="preserve">. Rev. </w:t>
      </w:r>
      <w:proofErr w:type="spellStart"/>
      <w:r w:rsidRPr="00297461">
        <w:rPr>
          <w:rFonts w:eastAsia="Times New Roman" w:cs="Arial"/>
          <w:color w:val="222222"/>
        </w:rPr>
        <w:t>Financ</w:t>
      </w:r>
      <w:proofErr w:type="spellEnd"/>
      <w:r w:rsidRPr="00297461">
        <w:rPr>
          <w:rFonts w:eastAsia="Times New Roman" w:cs="Arial"/>
          <w:color w:val="222222"/>
        </w:rPr>
        <w:t xml:space="preserve">. Econ. 3.1 (2011): 309-345. </w:t>
      </w:r>
      <w:hyperlink r:id="rId5" w:history="1">
        <w:r w:rsidR="00AF05A8" w:rsidRPr="00297461">
          <w:rPr>
            <w:rStyle w:val="Lienhypertexte"/>
            <w:rFonts w:eastAsia="Times New Roman" w:cs="Arial"/>
          </w:rPr>
          <w:t>http://www.liuyanecon.com/wp-content/uploads/GrahamLeary-2011.pdf</w:t>
        </w:r>
      </w:hyperlink>
      <w:r w:rsidR="00AF05A8" w:rsidRPr="00297461">
        <w:rPr>
          <w:rFonts w:eastAsia="Times New Roman" w:cs="Arial"/>
          <w:color w:val="222222"/>
        </w:rPr>
        <w:t xml:space="preserve"> </w:t>
      </w:r>
      <w:r w:rsidR="00297461">
        <w:rPr>
          <w:rFonts w:eastAsia="Times New Roman" w:cs="Arial"/>
          <w:color w:val="222222"/>
        </w:rPr>
        <w:t>(</w:t>
      </w:r>
      <w:r w:rsidR="00297461" w:rsidRPr="00297461">
        <w:rPr>
          <w:rFonts w:eastAsia="Times New Roman" w:cs="Arial"/>
          <w:color w:val="222222"/>
          <w:u w:val="single"/>
        </w:rPr>
        <w:t>highly recommended</w:t>
      </w:r>
      <w:r w:rsidR="00297461">
        <w:rPr>
          <w:rFonts w:eastAsia="Times New Roman" w:cs="Arial"/>
          <w:color w:val="222222"/>
        </w:rPr>
        <w:t>)</w:t>
      </w:r>
    </w:p>
    <w:p w:rsidR="00AF05A8" w:rsidRPr="00297461" w:rsidRDefault="00AF05A8" w:rsidP="00297461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color w:val="222222"/>
        </w:rPr>
      </w:pPr>
      <w:r w:rsidRPr="00AF05A8">
        <w:t xml:space="preserve">Myers, Stewart C. "Capital structure." Journal of Economic perspectives 15.2 (2001): 81-102. </w:t>
      </w:r>
      <w:hyperlink r:id="rId6" w:history="1">
        <w:r w:rsidRPr="00AF05A8">
          <w:rPr>
            <w:rStyle w:val="Lienhypertexte"/>
          </w:rPr>
          <w:t>https://pubs.aeaweb.org/doi/pdf/10.1257/jep.15.2.81</w:t>
        </w:r>
      </w:hyperlink>
    </w:p>
    <w:p w:rsidR="00A50B3B" w:rsidRPr="00297461" w:rsidRDefault="00A50B3B" w:rsidP="00297461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color w:val="222222"/>
        </w:rPr>
      </w:pPr>
      <w:r w:rsidRPr="00297461">
        <w:rPr>
          <w:rFonts w:eastAsia="Times New Roman" w:cs="Arial"/>
          <w:color w:val="222222"/>
        </w:rPr>
        <w:t xml:space="preserve">Myers, Stewart C. "Finance, theoretical and applied." Annual Review of Financial Economics 7 (2015): 1-34. </w:t>
      </w:r>
    </w:p>
    <w:p w:rsidR="00297461" w:rsidRPr="00297461" w:rsidRDefault="00297461" w:rsidP="00052B07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color w:val="222222"/>
          <w:u w:val="single"/>
        </w:rPr>
      </w:pPr>
      <w:r w:rsidRPr="00297461">
        <w:rPr>
          <w:rFonts w:eastAsia="Times New Roman" w:cs="Arial"/>
          <w:color w:val="222222"/>
          <w:u w:val="single"/>
        </w:rPr>
        <w:t>For the case studies:</w:t>
      </w:r>
    </w:p>
    <w:p w:rsidR="00821D4A" w:rsidRDefault="00821D4A" w:rsidP="00052B07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color w:val="222222"/>
        </w:rPr>
      </w:pPr>
      <w:proofErr w:type="spellStart"/>
      <w:r w:rsidRPr="00821D4A">
        <w:rPr>
          <w:rFonts w:eastAsia="Times New Roman" w:cs="Arial"/>
          <w:color w:val="222222"/>
        </w:rPr>
        <w:t>Cerasi</w:t>
      </w:r>
      <w:proofErr w:type="spellEnd"/>
      <w:r w:rsidRPr="00821D4A">
        <w:rPr>
          <w:rFonts w:eastAsia="Times New Roman" w:cs="Arial"/>
          <w:color w:val="222222"/>
        </w:rPr>
        <w:t xml:space="preserve"> V., A. Fedele and R. Miniaci, 2017, “Product Market Competition and Access to Credit”, Small Business Economics. 49(2): 295–318 DOI: 10.1007/s11187-017-9838-x.</w:t>
      </w:r>
    </w:p>
    <w:p w:rsidR="00821D4A" w:rsidRDefault="00821D4A" w:rsidP="00052B07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color w:val="222222"/>
        </w:rPr>
      </w:pPr>
      <w:r w:rsidRPr="00821D4A">
        <w:rPr>
          <w:rFonts w:eastAsia="Times New Roman" w:cs="Arial"/>
          <w:color w:val="222222"/>
        </w:rPr>
        <w:t>Fedele A. and R. Miniaci, 2010, “Do Social Enterprises Finance Their Investments Differently from For-Profit Firms? The Case of Social Residential Services in Italy”, Journal of Social Entrepreneurship, 1(2): 174-189. DOI: 10.1080/19420676.2010.511812.</w:t>
      </w:r>
    </w:p>
    <w:p w:rsidR="005A4D5F" w:rsidRDefault="005A4D5F" w:rsidP="00052B07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color w:val="222222"/>
        </w:rPr>
      </w:pPr>
      <w:r w:rsidRPr="005A4D5F">
        <w:rPr>
          <w:rFonts w:eastAsia="Times New Roman" w:cs="Arial"/>
          <w:color w:val="222222"/>
        </w:rPr>
        <w:t xml:space="preserve">Miniaci R., P. M. </w:t>
      </w:r>
      <w:proofErr w:type="spellStart"/>
      <w:r w:rsidRPr="005A4D5F">
        <w:rPr>
          <w:rFonts w:eastAsia="Times New Roman" w:cs="Arial"/>
          <w:color w:val="222222"/>
        </w:rPr>
        <w:t>Panteghini</w:t>
      </w:r>
      <w:proofErr w:type="spellEnd"/>
      <w:r w:rsidRPr="005A4D5F">
        <w:rPr>
          <w:rFonts w:eastAsia="Times New Roman" w:cs="Arial"/>
          <w:color w:val="222222"/>
        </w:rPr>
        <w:t xml:space="preserve"> and M. L. </w:t>
      </w:r>
      <w:proofErr w:type="spellStart"/>
      <w:r w:rsidRPr="005A4D5F">
        <w:rPr>
          <w:rFonts w:eastAsia="Times New Roman" w:cs="Arial"/>
          <w:color w:val="222222"/>
        </w:rPr>
        <w:t>Parisi</w:t>
      </w:r>
      <w:proofErr w:type="spellEnd"/>
      <w:r w:rsidRPr="005A4D5F">
        <w:rPr>
          <w:rFonts w:eastAsia="Times New Roman" w:cs="Arial"/>
          <w:color w:val="222222"/>
        </w:rPr>
        <w:t>, 2014, “Debt Shifting in Europe”, International Tax and Public Finance. 21: 397-435. DOI: 10.1007/s10797-012-9266-4.</w:t>
      </w:r>
    </w:p>
    <w:p w:rsidR="005F2488" w:rsidRPr="00575F75" w:rsidRDefault="005F2488">
      <w:pPr>
        <w:rPr>
          <w:lang w:val="it-IT"/>
        </w:rPr>
      </w:pPr>
    </w:p>
    <w:sectPr w:rsidR="005F2488" w:rsidRPr="00575F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141E"/>
    <w:multiLevelType w:val="multilevel"/>
    <w:tmpl w:val="CD1E9BFA"/>
    <w:lvl w:ilvl="0">
      <w:start w:val="1"/>
      <w:numFmt w:val="decimal"/>
      <w:lvlText w:val="%1."/>
      <w:lvlJc w:val="left"/>
      <w:pPr>
        <w:tabs>
          <w:tab w:val="num" w:pos="42"/>
        </w:tabs>
        <w:ind w:left="42" w:hanging="360"/>
      </w:pPr>
    </w:lvl>
    <w:lvl w:ilvl="1" w:tentative="1">
      <w:start w:val="1"/>
      <w:numFmt w:val="decimal"/>
      <w:lvlText w:val="%2."/>
      <w:lvlJc w:val="left"/>
      <w:pPr>
        <w:tabs>
          <w:tab w:val="num" w:pos="762"/>
        </w:tabs>
        <w:ind w:left="762" w:hanging="360"/>
      </w:pPr>
    </w:lvl>
    <w:lvl w:ilvl="2" w:tentative="1">
      <w:start w:val="1"/>
      <w:numFmt w:val="decimal"/>
      <w:lvlText w:val="%3."/>
      <w:lvlJc w:val="left"/>
      <w:pPr>
        <w:tabs>
          <w:tab w:val="num" w:pos="1482"/>
        </w:tabs>
        <w:ind w:left="1482" w:hanging="360"/>
      </w:pPr>
    </w:lvl>
    <w:lvl w:ilvl="3" w:tentative="1">
      <w:start w:val="1"/>
      <w:numFmt w:val="decimal"/>
      <w:lvlText w:val="%4."/>
      <w:lvlJc w:val="left"/>
      <w:pPr>
        <w:tabs>
          <w:tab w:val="num" w:pos="2202"/>
        </w:tabs>
        <w:ind w:left="2202" w:hanging="360"/>
      </w:pPr>
    </w:lvl>
    <w:lvl w:ilvl="4" w:tentative="1">
      <w:start w:val="1"/>
      <w:numFmt w:val="decimal"/>
      <w:lvlText w:val="%5."/>
      <w:lvlJc w:val="left"/>
      <w:pPr>
        <w:tabs>
          <w:tab w:val="num" w:pos="2922"/>
        </w:tabs>
        <w:ind w:left="2922" w:hanging="360"/>
      </w:pPr>
    </w:lvl>
    <w:lvl w:ilvl="5" w:tentative="1">
      <w:start w:val="1"/>
      <w:numFmt w:val="decimal"/>
      <w:lvlText w:val="%6."/>
      <w:lvlJc w:val="left"/>
      <w:pPr>
        <w:tabs>
          <w:tab w:val="num" w:pos="3642"/>
        </w:tabs>
        <w:ind w:left="3642" w:hanging="360"/>
      </w:pPr>
    </w:lvl>
    <w:lvl w:ilvl="6" w:tentative="1">
      <w:start w:val="1"/>
      <w:numFmt w:val="decimal"/>
      <w:lvlText w:val="%7."/>
      <w:lvlJc w:val="left"/>
      <w:pPr>
        <w:tabs>
          <w:tab w:val="num" w:pos="4362"/>
        </w:tabs>
        <w:ind w:left="4362" w:hanging="360"/>
      </w:pPr>
    </w:lvl>
    <w:lvl w:ilvl="7" w:tentative="1">
      <w:start w:val="1"/>
      <w:numFmt w:val="decimal"/>
      <w:lvlText w:val="%8."/>
      <w:lvlJc w:val="left"/>
      <w:pPr>
        <w:tabs>
          <w:tab w:val="num" w:pos="5082"/>
        </w:tabs>
        <w:ind w:left="5082" w:hanging="360"/>
      </w:pPr>
    </w:lvl>
    <w:lvl w:ilvl="8" w:tentative="1">
      <w:start w:val="1"/>
      <w:numFmt w:val="decimal"/>
      <w:lvlText w:val="%9."/>
      <w:lvlJc w:val="left"/>
      <w:pPr>
        <w:tabs>
          <w:tab w:val="num" w:pos="5802"/>
        </w:tabs>
        <w:ind w:left="5802" w:hanging="360"/>
      </w:pPr>
    </w:lvl>
  </w:abstractNum>
  <w:abstractNum w:abstractNumId="1" w15:restartNumberingAfterBreak="0">
    <w:nsid w:val="675A3E5C"/>
    <w:multiLevelType w:val="hybridMultilevel"/>
    <w:tmpl w:val="3B6E48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F75"/>
    <w:rsid w:val="00052B07"/>
    <w:rsid w:val="000F3C06"/>
    <w:rsid w:val="00297461"/>
    <w:rsid w:val="005620AF"/>
    <w:rsid w:val="00575F75"/>
    <w:rsid w:val="005A4D5F"/>
    <w:rsid w:val="005F2488"/>
    <w:rsid w:val="007B6FCC"/>
    <w:rsid w:val="00821D4A"/>
    <w:rsid w:val="008A10B5"/>
    <w:rsid w:val="008D4A5D"/>
    <w:rsid w:val="00985CF9"/>
    <w:rsid w:val="00A50B3B"/>
    <w:rsid w:val="00AF05A8"/>
    <w:rsid w:val="00B43D2C"/>
    <w:rsid w:val="00BA66D9"/>
    <w:rsid w:val="00BF5A8C"/>
    <w:rsid w:val="00C6507F"/>
    <w:rsid w:val="00CE7B3F"/>
    <w:rsid w:val="00D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F1EA6-4833-452E-B56E-BC846CA3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C06"/>
    <w:pPr>
      <w:spacing w:after="120" w:line="276" w:lineRule="auto"/>
      <w:jc w:val="both"/>
    </w:pPr>
    <w:rPr>
      <w:rFonts w:ascii="Avenir LT Std 45 Book" w:eastAsiaTheme="minorEastAsia" w:hAnsi="Avenir LT Std 45 Book"/>
      <w:sz w:val="24"/>
      <w:szCs w:val="24"/>
      <w:lang w:val="en-GB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0B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F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s.aeaweb.org/doi/pdf/10.1257/jep.15.2.81" TargetMode="External"/><Relationship Id="rId5" Type="http://schemas.openxmlformats.org/officeDocument/2006/relationships/hyperlink" Target="http://www.liuyanecon.com/wp-content/uploads/GrahamLeary-20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Brescia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Miniaci</dc:creator>
  <cp:keywords/>
  <dc:description/>
  <cp:lastModifiedBy>Jackie Krafft</cp:lastModifiedBy>
  <cp:revision>2</cp:revision>
  <dcterms:created xsi:type="dcterms:W3CDTF">2019-06-13T09:52:00Z</dcterms:created>
  <dcterms:modified xsi:type="dcterms:W3CDTF">2019-06-13T09:52:00Z</dcterms:modified>
</cp:coreProperties>
</file>